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99B" w:rsidRDefault="00DF699B" w:rsidP="00DF699B">
      <w:pPr>
        <w:ind w:firstLine="709"/>
        <w:jc w:val="center"/>
      </w:pPr>
      <w:r>
        <w:t>МЕЖГОСУДАРСТВЕННЫЙ СТАТИСТИЧЕСКИЙ КОМИТЕТ</w:t>
      </w:r>
    </w:p>
    <w:p w:rsidR="00DF699B" w:rsidRDefault="00DF699B" w:rsidP="00DF699B">
      <w:pPr>
        <w:ind w:firstLine="709"/>
        <w:jc w:val="center"/>
      </w:pPr>
      <w:r>
        <w:t>СОДРУЖЕСТВА НЕЗАВИСИМЫХ ГОСУДАРСТВ</w:t>
      </w:r>
    </w:p>
    <w:p w:rsidR="00DF699B" w:rsidRDefault="00DF699B" w:rsidP="00DF699B">
      <w:pPr>
        <w:ind w:firstLine="709"/>
      </w:pPr>
    </w:p>
    <w:p w:rsidR="00DF699B" w:rsidRPr="006642FD" w:rsidRDefault="00DF699B" w:rsidP="00DF699B">
      <w:pPr>
        <w:ind w:firstLine="709"/>
      </w:pPr>
    </w:p>
    <w:p w:rsidR="00DF699B" w:rsidRPr="006642FD" w:rsidRDefault="00DF699B" w:rsidP="00DF699B">
      <w:pPr>
        <w:ind w:firstLine="709"/>
      </w:pPr>
    </w:p>
    <w:p w:rsidR="00DF699B" w:rsidRDefault="00DF699B" w:rsidP="00DF699B">
      <w:pPr>
        <w:ind w:firstLine="709"/>
      </w:pPr>
      <w:r>
        <w:t xml:space="preserve">Индекс Управления (отдела) - </w:t>
      </w: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  <w:jc w:val="center"/>
        <w:rPr>
          <w:b/>
        </w:rPr>
      </w:pPr>
      <w:r>
        <w:rPr>
          <w:b/>
        </w:rPr>
        <w:t>ВОПРОСНИК N 25 СНГ</w:t>
      </w:r>
    </w:p>
    <w:p w:rsidR="00DF699B" w:rsidRDefault="00DF699B" w:rsidP="00DF699B">
      <w:pPr>
        <w:ind w:firstLine="709"/>
      </w:pPr>
    </w:p>
    <w:p w:rsidR="00DF699B" w:rsidRDefault="00DF699B" w:rsidP="00DF699B">
      <w:pPr>
        <w:ind w:firstLine="709"/>
        <w:jc w:val="center"/>
        <w:rPr>
          <w:b/>
        </w:rPr>
      </w:pPr>
      <w:r>
        <w:rPr>
          <w:b/>
        </w:rPr>
        <w:t xml:space="preserve">ПО СТАТИСТИКЕ </w:t>
      </w:r>
      <w:r w:rsidRPr="00DF699B">
        <w:rPr>
          <w:b/>
          <w:caps/>
        </w:rPr>
        <w:t xml:space="preserve">международных резервов и </w:t>
      </w:r>
      <w:r>
        <w:rPr>
          <w:b/>
          <w:caps/>
        </w:rPr>
        <w:br/>
      </w:r>
      <w:r w:rsidRPr="00DF699B">
        <w:rPr>
          <w:b/>
          <w:caps/>
        </w:rPr>
        <w:t>валового внешнего долга</w:t>
      </w:r>
    </w:p>
    <w:p w:rsidR="00DF699B" w:rsidRDefault="00DF699B" w:rsidP="00DF699B">
      <w:pPr>
        <w:ind w:firstLine="709"/>
        <w:jc w:val="center"/>
        <w:rPr>
          <w:b/>
        </w:rPr>
      </w:pPr>
    </w:p>
    <w:p w:rsidR="00DF699B" w:rsidRDefault="00DF699B" w:rsidP="00DF699B">
      <w:pPr>
        <w:ind w:firstLine="709"/>
        <w:jc w:val="center"/>
        <w:rPr>
          <w:b/>
        </w:rPr>
      </w:pPr>
    </w:p>
    <w:p w:rsidR="00DF699B" w:rsidRDefault="00DF699B" w:rsidP="00DF699B">
      <w:pPr>
        <w:ind w:firstLine="709"/>
        <w:jc w:val="center"/>
        <w:rPr>
          <w:b/>
        </w:rPr>
      </w:pPr>
    </w:p>
    <w:tbl>
      <w:tblPr>
        <w:tblW w:w="0" w:type="auto"/>
        <w:tblInd w:w="9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4"/>
        <w:gridCol w:w="4605"/>
      </w:tblGrid>
      <w:tr w:rsidR="00DF699B" w:rsidTr="000F7F25">
        <w:tc>
          <w:tcPr>
            <w:tcW w:w="8289" w:type="dxa"/>
            <w:gridSpan w:val="2"/>
          </w:tcPr>
          <w:p w:rsidR="00DF699B" w:rsidRDefault="00DF699B" w:rsidP="000F7F25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Представляющая страна</w:t>
            </w:r>
          </w:p>
        </w:tc>
      </w:tr>
      <w:tr w:rsidR="00DF699B" w:rsidTr="000F7F25">
        <w:tc>
          <w:tcPr>
            <w:tcW w:w="8289" w:type="dxa"/>
            <w:gridSpan w:val="2"/>
          </w:tcPr>
          <w:p w:rsidR="00DF699B" w:rsidRDefault="00DF699B" w:rsidP="000F7F25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Представляющее учреждение</w:t>
            </w:r>
          </w:p>
        </w:tc>
      </w:tr>
      <w:tr w:rsidR="00DF699B" w:rsidTr="000F7F25">
        <w:tc>
          <w:tcPr>
            <w:tcW w:w="3684" w:type="dxa"/>
            <w:tcBorders>
              <w:bottom w:val="nil"/>
            </w:tcBorders>
          </w:tcPr>
          <w:p w:rsidR="00DF699B" w:rsidRDefault="00DF699B" w:rsidP="000F7F25">
            <w:pPr>
              <w:spacing w:before="60" w:after="60" w:line="360" w:lineRule="auto"/>
              <w:ind w:left="284" w:right="284"/>
              <w:rPr>
                <w:i/>
              </w:rPr>
            </w:pPr>
            <w:r>
              <w:rPr>
                <w:i/>
              </w:rPr>
              <w:t>Способ представления:</w:t>
            </w:r>
          </w:p>
        </w:tc>
        <w:tc>
          <w:tcPr>
            <w:tcW w:w="4605" w:type="dxa"/>
          </w:tcPr>
          <w:p w:rsidR="00DF699B" w:rsidRDefault="00DF699B" w:rsidP="000F7F25">
            <w:pPr>
              <w:spacing w:before="60" w:after="60" w:line="360" w:lineRule="auto"/>
              <w:ind w:left="284" w:right="284"/>
              <w:jc w:val="center"/>
              <w:rPr>
                <w:i/>
              </w:rPr>
            </w:pPr>
            <w:r>
              <w:rPr>
                <w:i/>
              </w:rPr>
              <w:t>номера таблиц (разделов)</w:t>
            </w:r>
          </w:p>
        </w:tc>
      </w:tr>
      <w:tr w:rsidR="00DF699B" w:rsidTr="000F7F25">
        <w:tc>
          <w:tcPr>
            <w:tcW w:w="3684" w:type="dxa"/>
            <w:tcBorders>
              <w:top w:val="nil"/>
              <w:bottom w:val="nil"/>
            </w:tcBorders>
          </w:tcPr>
          <w:p w:rsidR="00DF699B" w:rsidRDefault="00DF699B" w:rsidP="000F7F25">
            <w:pPr>
              <w:spacing w:before="60" w:after="60" w:line="360" w:lineRule="auto"/>
              <w:ind w:left="284" w:right="284"/>
            </w:pPr>
            <w:r>
              <w:t>электронная почта</w:t>
            </w:r>
          </w:p>
        </w:tc>
        <w:tc>
          <w:tcPr>
            <w:tcW w:w="4605" w:type="dxa"/>
          </w:tcPr>
          <w:p w:rsidR="00DF699B" w:rsidRPr="00E93B4F" w:rsidRDefault="00DF699B" w:rsidP="000F7F25">
            <w:pPr>
              <w:spacing w:before="60" w:after="60" w:line="360" w:lineRule="auto"/>
              <w:ind w:left="284" w:right="284"/>
              <w:rPr>
                <w:color w:val="993300"/>
              </w:rPr>
            </w:pPr>
            <w:r w:rsidRPr="00E93B4F">
              <w:rPr>
                <w:color w:val="993300"/>
              </w:rPr>
              <w:t>2</w:t>
            </w:r>
            <w:r>
              <w:rPr>
                <w:color w:val="993300"/>
              </w:rPr>
              <w:t>5.1, 25.2</w:t>
            </w:r>
          </w:p>
        </w:tc>
      </w:tr>
      <w:tr w:rsidR="00DF699B" w:rsidTr="000F7F25">
        <w:tc>
          <w:tcPr>
            <w:tcW w:w="3684" w:type="dxa"/>
            <w:tcBorders>
              <w:top w:val="nil"/>
              <w:bottom w:val="single" w:sz="6" w:space="0" w:color="auto"/>
            </w:tcBorders>
          </w:tcPr>
          <w:p w:rsidR="00DF699B" w:rsidRDefault="00DF699B" w:rsidP="000F7F25">
            <w:pPr>
              <w:spacing w:before="60" w:after="60" w:line="360" w:lineRule="auto"/>
              <w:ind w:left="284" w:right="284"/>
            </w:pPr>
            <w:r>
              <w:t>почта</w:t>
            </w:r>
          </w:p>
        </w:tc>
        <w:tc>
          <w:tcPr>
            <w:tcW w:w="4605" w:type="dxa"/>
          </w:tcPr>
          <w:p w:rsidR="00DF699B" w:rsidRDefault="00DF699B" w:rsidP="000F7F25">
            <w:pPr>
              <w:spacing w:before="60" w:after="60" w:line="360" w:lineRule="auto"/>
              <w:ind w:left="284" w:right="284"/>
            </w:pPr>
          </w:p>
        </w:tc>
      </w:tr>
    </w:tbl>
    <w:p w:rsidR="00DF699B" w:rsidRDefault="00DF699B"/>
    <w:p w:rsidR="00DF699B" w:rsidRDefault="00DF699B">
      <w:pPr>
        <w:spacing w:after="160" w:line="259" w:lineRule="auto"/>
      </w:pPr>
      <w:r>
        <w:br w:type="page"/>
      </w:r>
    </w:p>
    <w:p w:rsidR="00DF699B" w:rsidRDefault="00DF699B" w:rsidP="00DF699B">
      <w:pPr>
        <w:jc w:val="center"/>
        <w:rPr>
          <w:b/>
        </w:rPr>
      </w:pPr>
      <w:r w:rsidRPr="008A4ACA">
        <w:rPr>
          <w:b/>
          <w:caps/>
        </w:rPr>
        <w:lastRenderedPageBreak/>
        <w:t>Методологические</w:t>
      </w:r>
      <w:r>
        <w:rPr>
          <w:b/>
        </w:rPr>
        <w:t xml:space="preserve"> ПОЯСНЕНИЯ</w:t>
      </w:r>
      <w:r>
        <w:rPr>
          <w:rStyle w:val="a5"/>
          <w:b/>
        </w:rPr>
        <w:footnoteReference w:id="1"/>
      </w:r>
    </w:p>
    <w:p w:rsidR="00DF699B" w:rsidRDefault="00DF699B" w:rsidP="00DF699B">
      <w:pPr>
        <w:jc w:val="center"/>
        <w:rPr>
          <w:b/>
        </w:rPr>
      </w:pPr>
      <w:r>
        <w:rPr>
          <w:b/>
        </w:rPr>
        <w:t>по заполнению вопросника</w:t>
      </w:r>
    </w:p>
    <w:p w:rsidR="00DF699B" w:rsidRDefault="00DF699B" w:rsidP="00DF699B"/>
    <w:p w:rsidR="00DF699B" w:rsidRDefault="00DF699B" w:rsidP="00DF699B"/>
    <w:p w:rsidR="00DF699B" w:rsidRDefault="00DF699B" w:rsidP="00DF699B">
      <w:pPr>
        <w:jc w:val="center"/>
        <w:rPr>
          <w:b/>
          <w:sz w:val="28"/>
          <w:szCs w:val="28"/>
        </w:rPr>
      </w:pPr>
      <w:r w:rsidRPr="001801E1">
        <w:rPr>
          <w:b/>
          <w:sz w:val="28"/>
          <w:szCs w:val="28"/>
        </w:rPr>
        <w:t>Таблица 2</w:t>
      </w:r>
      <w:r>
        <w:rPr>
          <w:b/>
          <w:sz w:val="28"/>
          <w:szCs w:val="28"/>
        </w:rPr>
        <w:t>5.</w:t>
      </w:r>
      <w:r w:rsidRPr="001801E1">
        <w:rPr>
          <w:b/>
          <w:sz w:val="28"/>
          <w:szCs w:val="28"/>
        </w:rPr>
        <w:t xml:space="preserve">1. </w:t>
      </w:r>
      <w:r>
        <w:rPr>
          <w:b/>
          <w:sz w:val="28"/>
          <w:szCs w:val="28"/>
        </w:rPr>
        <w:t>Международные резервы органов денежно-кредитного регулирования</w:t>
      </w:r>
    </w:p>
    <w:p w:rsidR="00DF699B" w:rsidRDefault="00DF699B" w:rsidP="00DF6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(годовая) </w:t>
      </w:r>
    </w:p>
    <w:p w:rsidR="00DF699B" w:rsidRDefault="00DF699B" w:rsidP="00DF699B">
      <w:pPr>
        <w:jc w:val="center"/>
        <w:rPr>
          <w:b/>
          <w:sz w:val="28"/>
          <w:szCs w:val="28"/>
        </w:rPr>
      </w:pPr>
    </w:p>
    <w:p w:rsidR="0071779E" w:rsidRPr="0071779E" w:rsidRDefault="0071779E" w:rsidP="00DF699B">
      <w:pPr>
        <w:ind w:firstLine="709"/>
        <w:jc w:val="both"/>
      </w:pPr>
      <w:r w:rsidRPr="0071779E">
        <w:t xml:space="preserve">Содержит данные о </w:t>
      </w:r>
      <w:r w:rsidRPr="0071779E">
        <w:t>структуре международных резервов органов денежно-кредитного регулирования</w:t>
      </w:r>
      <w:r w:rsidRPr="0071779E">
        <w:t>. Таблица заполняется нарастающим итогом на конец отчетного года и года, предшествовавшего отчетному.</w:t>
      </w:r>
    </w:p>
    <w:p w:rsidR="0071779E" w:rsidRDefault="0071779E" w:rsidP="00DF699B">
      <w:pPr>
        <w:ind w:firstLine="709"/>
        <w:jc w:val="both"/>
        <w:rPr>
          <w:highlight w:val="yellow"/>
        </w:rPr>
      </w:pPr>
    </w:p>
    <w:p w:rsidR="00DF699B" w:rsidRDefault="00DF699B" w:rsidP="00DF699B">
      <w:pPr>
        <w:ind w:firstLine="709"/>
        <w:jc w:val="both"/>
        <w:rPr>
          <w:szCs w:val="28"/>
        </w:rPr>
      </w:pPr>
      <w:r w:rsidRPr="00DF699B">
        <w:rPr>
          <w:b/>
          <w:szCs w:val="28"/>
        </w:rPr>
        <w:t>Международными резервами</w:t>
      </w:r>
      <w:r w:rsidRPr="00DF699B">
        <w:rPr>
          <w:szCs w:val="28"/>
        </w:rPr>
        <w:t xml:space="preserve"> страны называются внешние активы, которые имеются в свободном распоряжении органов денежно-кредитного регулирования и контролируются ими в целях удовлетворения потребностей в финансировании платежного баланса, проведения интервенций на валютных рынках для оказания воздействия на валютный курс и в других соответствующих целях (таких как поддержание доверия к валюте и экономике, а также в качестве основы для внешнего заимствования). Резервные активы включают монетарное золото, специальные права заимствования (СДР), резервную позицию в МВФ и другие резервные активы.</w:t>
      </w:r>
    </w:p>
    <w:p w:rsidR="00DF699B" w:rsidRDefault="00DF699B" w:rsidP="00DF699B">
      <w:pPr>
        <w:ind w:firstLine="709"/>
        <w:jc w:val="both"/>
        <w:rPr>
          <w:szCs w:val="28"/>
        </w:rPr>
      </w:pPr>
    </w:p>
    <w:p w:rsidR="00DF699B" w:rsidRPr="00DF699B" w:rsidRDefault="00DF699B" w:rsidP="00DF699B">
      <w:pPr>
        <w:ind w:firstLine="709"/>
        <w:jc w:val="both"/>
        <w:rPr>
          <w:szCs w:val="28"/>
        </w:rPr>
      </w:pPr>
      <w:r w:rsidRPr="00DF699B">
        <w:rPr>
          <w:b/>
          <w:szCs w:val="28"/>
        </w:rPr>
        <w:t>Монетарное золото</w:t>
      </w:r>
      <w:r w:rsidRPr="00DF699B">
        <w:rPr>
          <w:szCs w:val="28"/>
        </w:rPr>
        <w:t xml:space="preserve"> - золото, которое принадлежит органам денежно-кредитного регулирования (или другим субъектам, в отношении которых органы денежно-кредитного регулирования осуществляют фактический контроль) и хранится ими в качестве резервного актива. Золото включает золото в слитках и обезличенные золотые счета с нерезидентами, которые дают право требовать поставки золота. Золото в слитках имеет форму монет, слитков или брусков с чистым содержанием металла не менее 995 пробы, включая также золото, хранимое на золотых счетах ответственного хранения.</w:t>
      </w:r>
    </w:p>
    <w:p w:rsidR="0035252A" w:rsidRDefault="0035252A"/>
    <w:p w:rsidR="00DF699B" w:rsidRDefault="00DF699B" w:rsidP="00DF699B">
      <w:pPr>
        <w:jc w:val="center"/>
        <w:rPr>
          <w:b/>
          <w:sz w:val="28"/>
          <w:szCs w:val="28"/>
        </w:rPr>
      </w:pPr>
      <w:r w:rsidRPr="001801E1">
        <w:rPr>
          <w:b/>
          <w:sz w:val="28"/>
          <w:szCs w:val="28"/>
        </w:rPr>
        <w:t>Таблица 2</w:t>
      </w:r>
      <w:r>
        <w:rPr>
          <w:b/>
          <w:sz w:val="28"/>
          <w:szCs w:val="28"/>
        </w:rPr>
        <w:t>5.2</w:t>
      </w:r>
      <w:r w:rsidRPr="001801E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Валовой внешний долг</w:t>
      </w:r>
    </w:p>
    <w:p w:rsidR="00DF699B" w:rsidRDefault="00DF699B" w:rsidP="00DF69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(годовая) </w:t>
      </w:r>
    </w:p>
    <w:p w:rsidR="00DF699B" w:rsidRDefault="00DF699B" w:rsidP="00DF699B">
      <w:pPr>
        <w:jc w:val="center"/>
        <w:rPr>
          <w:b/>
          <w:sz w:val="28"/>
          <w:szCs w:val="28"/>
        </w:rPr>
      </w:pPr>
    </w:p>
    <w:p w:rsidR="0071779E" w:rsidRPr="0071779E" w:rsidRDefault="0071779E" w:rsidP="0071779E">
      <w:pPr>
        <w:ind w:firstLine="709"/>
        <w:jc w:val="both"/>
      </w:pPr>
      <w:r w:rsidRPr="0071779E">
        <w:t xml:space="preserve">Содержит данные о структуре </w:t>
      </w:r>
      <w:r>
        <w:t>валового внешнего долга страны</w:t>
      </w:r>
      <w:bookmarkStart w:id="0" w:name="_GoBack"/>
      <w:bookmarkEnd w:id="0"/>
      <w:r w:rsidRPr="0071779E">
        <w:t>. Таблица заполняется нарастающим итогом на конец отчетного года и года, предшествовавшего отчетному.</w:t>
      </w:r>
    </w:p>
    <w:p w:rsidR="0071779E" w:rsidRDefault="0071779E" w:rsidP="0071779E">
      <w:pPr>
        <w:ind w:firstLine="709"/>
        <w:jc w:val="both"/>
        <w:rPr>
          <w:highlight w:val="yellow"/>
        </w:rPr>
      </w:pPr>
    </w:p>
    <w:p w:rsidR="00DF699B" w:rsidRDefault="00DF699B" w:rsidP="00DF699B">
      <w:pPr>
        <w:ind w:firstLine="709"/>
        <w:jc w:val="both"/>
      </w:pPr>
      <w:r w:rsidRPr="00DF699B">
        <w:rPr>
          <w:b/>
        </w:rPr>
        <w:t>Валовой внешний долг</w:t>
      </w:r>
      <w:r w:rsidRPr="00DF699B">
        <w:t xml:space="preserve"> на любой данный момент времени представляет собой непогашенную сумму фактических (а не условных) текущих обязательств резидентов перед нерезидентами экономики, которая требует выплаты (выплат) процентов и/или основного долга в определенный момент (моменты) в будущем. Данные приведены по методол</w:t>
      </w:r>
      <w:r>
        <w:t>о</w:t>
      </w:r>
      <w:r w:rsidRPr="00DF699B">
        <w:t>гии, изложенной в шестом издании «Руководства по платежному балансу и международной инвестиционной позиции» (РПБ6).</w:t>
      </w:r>
    </w:p>
    <w:sectPr w:rsidR="00DF6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699B" w:rsidRDefault="00DF699B" w:rsidP="00DF699B">
      <w:r>
        <w:separator/>
      </w:r>
    </w:p>
  </w:endnote>
  <w:endnote w:type="continuationSeparator" w:id="0">
    <w:p w:rsidR="00DF699B" w:rsidRDefault="00DF699B" w:rsidP="00DF6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699B" w:rsidRDefault="00DF699B" w:rsidP="00DF699B">
      <w:r>
        <w:separator/>
      </w:r>
    </w:p>
  </w:footnote>
  <w:footnote w:type="continuationSeparator" w:id="0">
    <w:p w:rsidR="00DF699B" w:rsidRDefault="00DF699B" w:rsidP="00DF699B">
      <w:r>
        <w:continuationSeparator/>
      </w:r>
    </w:p>
  </w:footnote>
  <w:footnote w:id="1">
    <w:p w:rsidR="00DF699B" w:rsidRPr="00A424DD" w:rsidRDefault="00DF699B" w:rsidP="00DF699B">
      <w:pPr>
        <w:pStyle w:val="a3"/>
        <w:ind w:left="360"/>
      </w:pPr>
      <w:r>
        <w:rPr>
          <w:rStyle w:val="a5"/>
        </w:rPr>
        <w:footnoteRef/>
      </w:r>
      <w:r>
        <w:t xml:space="preserve"> </w:t>
      </w:r>
      <w:r w:rsidRPr="00A424DD">
        <w:t xml:space="preserve">Методологические отличия </w:t>
      </w:r>
      <w:r>
        <w:t>от</w:t>
      </w:r>
      <w:r w:rsidRPr="00A424DD">
        <w:t xml:space="preserve"> показател</w:t>
      </w:r>
      <w:r>
        <w:t>ей</w:t>
      </w:r>
      <w:r w:rsidRPr="00A424DD">
        <w:t xml:space="preserve"> Вопросника при заполнении таблиц необходимо указывать в </w:t>
      </w:r>
      <w:r>
        <w:t xml:space="preserve">строке </w:t>
      </w:r>
      <w:r w:rsidRPr="00A424DD">
        <w:t xml:space="preserve">«Примечания». </w:t>
      </w:r>
    </w:p>
    <w:p w:rsidR="00DF699B" w:rsidRPr="00A424DD" w:rsidRDefault="00DF699B" w:rsidP="00DF699B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9B"/>
    <w:rsid w:val="0035252A"/>
    <w:rsid w:val="0071779E"/>
    <w:rsid w:val="00D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36B85"/>
  <w15:chartTrackingRefBased/>
  <w15:docId w15:val="{27A39620-21C7-4E2A-99BB-D9CC69D8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F699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DF699B"/>
    <w:rPr>
      <w:sz w:val="20"/>
    </w:rPr>
  </w:style>
  <w:style w:type="character" w:customStyle="1" w:styleId="a4">
    <w:name w:val="Текст сноски Знак"/>
    <w:basedOn w:val="a0"/>
    <w:link w:val="a3"/>
    <w:semiHidden/>
    <w:rsid w:val="00DF69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DF6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Кузнецов</dc:creator>
  <cp:keywords/>
  <dc:description/>
  <cp:lastModifiedBy>Илья Кузнецов</cp:lastModifiedBy>
  <cp:revision>2</cp:revision>
  <dcterms:created xsi:type="dcterms:W3CDTF">2020-11-23T15:18:00Z</dcterms:created>
  <dcterms:modified xsi:type="dcterms:W3CDTF">2020-11-24T09:44:00Z</dcterms:modified>
</cp:coreProperties>
</file>